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760384A6" w14:textId="71D9345B" w:rsidR="00B078E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 xml:space="preserve">BUPATI TENTANG </w:t>
      </w:r>
      <w:r w:rsidR="00861C52">
        <w:rPr>
          <w:rFonts w:ascii="Arial" w:hAnsi="Arial" w:cs="Arial"/>
        </w:rPr>
        <w:t>PEMBINAAN JASA KONSTRUKSI.</w:t>
      </w:r>
    </w:p>
    <w:p w14:paraId="6EA557F8" w14:textId="77777777" w:rsidR="00861C52" w:rsidRDefault="00861C52" w:rsidP="002F2EF9">
      <w:pPr>
        <w:spacing w:line="360" w:lineRule="auto"/>
        <w:jc w:val="both"/>
        <w:rPr>
          <w:rFonts w:ascii="Arial" w:hAnsi="Arial" w:cs="Arial"/>
        </w:rPr>
      </w:pPr>
    </w:p>
    <w:p w14:paraId="474F3527" w14:textId="77777777" w:rsidR="00861C52" w:rsidRPr="002F2EF9" w:rsidRDefault="00861C52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50E6D89A" w14:textId="77777777" w:rsidR="00B078E9" w:rsidRPr="002F2EF9" w:rsidRDefault="00B078E9" w:rsidP="002F2EF9">
      <w:pPr>
        <w:spacing w:line="360" w:lineRule="auto"/>
        <w:jc w:val="both"/>
        <w:rPr>
          <w:rFonts w:ascii="Arial" w:hAnsi="Arial" w:cs="Arial"/>
        </w:rPr>
      </w:pP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6EA9BAE7" w14:textId="488BAB39" w:rsidR="00861C52" w:rsidRPr="00861C52" w:rsidRDefault="00861C52" w:rsidP="00861C52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r w:rsidRPr="00861C52">
        <w:rPr>
          <w:rFonts w:ascii="Arial" w:hAnsi="Arial" w:cs="Arial"/>
          <w:lang w:val="en-US"/>
        </w:rPr>
        <w:t xml:space="preserve">Penyelenggaraan jasa konstruksi memilik peran strategi dalam mendukung </w:t>
      </w:r>
      <w:r>
        <w:rPr>
          <w:rFonts w:ascii="Arial" w:hAnsi="Arial" w:cs="Arial"/>
          <w:lang w:val="en-US"/>
        </w:rPr>
        <w:t>Pembangunan strategis dalam mendukng Pembangunan daerah yang berkualitas, aman dan berkelanjutan. Pemerintah daerah memiliki kewenangan melakukan pembinaan jasa konstruksi di daerah sebagai,ana diatur dalam peraturan perundang-undangan, dalam rangka  melaksanakan kewenangan tersebut diperlukan pengatutra melalui rancangan peraturan kepala daerah tentang pembinaan jasa konstruksi yang disusun berdasarkan hasil pemantauan dan peninjauan undang-undang serta analisis dan evaluasi peraturan perundang-undangan.</w:t>
      </w:r>
    </w:p>
    <w:p w14:paraId="54E95E4A" w14:textId="5A08920F" w:rsidR="00D44E09" w:rsidRDefault="00861C52" w:rsidP="00861C52">
      <w:pPr>
        <w:spacing w:line="360" w:lineRule="auto"/>
        <w:jc w:val="both"/>
        <w:rPr>
          <w:rFonts w:ascii="Arial" w:hAnsi="Arial" w:cs="Arial"/>
          <w:b/>
          <w:bCs/>
        </w:rPr>
      </w:pPr>
      <w:r w:rsidRPr="00861C52">
        <w:rPr>
          <w:rFonts w:ascii="Arial" w:hAnsi="Arial" w:cs="Arial"/>
          <w:lang w:val="en-US"/>
        </w:rPr>
        <w:t xml:space="preserve">      </w:t>
      </w:r>
      <w:r w:rsidR="000B4E7E" w:rsidRPr="002F2EF9">
        <w:rPr>
          <w:rFonts w:ascii="Arial" w:hAnsi="Arial" w:cs="Arial"/>
          <w:b/>
          <w:bCs/>
        </w:rPr>
        <w:t>DASAR HUKUM</w:t>
      </w:r>
    </w:p>
    <w:p w14:paraId="0A861DE0" w14:textId="3EC998D0" w:rsidR="00C20313" w:rsidRPr="00861C52" w:rsidRDefault="000335CE" w:rsidP="00861C5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35CE">
        <w:rPr>
          <w:rFonts w:ascii="Arial" w:hAnsi="Arial" w:cs="Arial"/>
          <w:sz w:val="24"/>
          <w:szCs w:val="24"/>
        </w:rPr>
        <w:t xml:space="preserve">Undang-Undang Nomor </w:t>
      </w:r>
      <w:r w:rsidR="00861C52">
        <w:rPr>
          <w:rFonts w:ascii="Arial" w:hAnsi="Arial" w:cs="Arial"/>
          <w:sz w:val="24"/>
          <w:szCs w:val="24"/>
        </w:rPr>
        <w:t>2</w:t>
      </w:r>
      <w:r w:rsidR="00C20313">
        <w:rPr>
          <w:rFonts w:ascii="Arial" w:hAnsi="Arial" w:cs="Arial"/>
          <w:sz w:val="24"/>
          <w:szCs w:val="24"/>
        </w:rPr>
        <w:t xml:space="preserve"> Tahun 20</w:t>
      </w:r>
      <w:r w:rsidR="00861C52">
        <w:rPr>
          <w:rFonts w:ascii="Arial" w:hAnsi="Arial" w:cs="Arial"/>
          <w:sz w:val="24"/>
          <w:szCs w:val="24"/>
        </w:rPr>
        <w:t xml:space="preserve">17 </w:t>
      </w:r>
      <w:r w:rsidR="00C20313">
        <w:rPr>
          <w:rFonts w:ascii="Arial" w:hAnsi="Arial" w:cs="Arial"/>
          <w:sz w:val="24"/>
          <w:szCs w:val="24"/>
        </w:rPr>
        <w:t xml:space="preserve">tentang </w:t>
      </w:r>
      <w:r w:rsidR="00861C52">
        <w:rPr>
          <w:rFonts w:ascii="Arial" w:hAnsi="Arial" w:cs="Arial"/>
          <w:sz w:val="24"/>
          <w:szCs w:val="24"/>
        </w:rPr>
        <w:t>jasa konstruksi</w:t>
      </w:r>
      <w:r w:rsidR="00C20313">
        <w:rPr>
          <w:rFonts w:ascii="Arial" w:hAnsi="Arial" w:cs="Arial"/>
          <w:sz w:val="24"/>
          <w:szCs w:val="24"/>
        </w:rPr>
        <w:t>;</w:t>
      </w:r>
    </w:p>
    <w:p w14:paraId="3A9FF844" w14:textId="5354E810" w:rsidR="000335CE" w:rsidRPr="000335CE" w:rsidRDefault="000335CE" w:rsidP="000335C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35CE">
        <w:rPr>
          <w:rFonts w:ascii="Arial" w:hAnsi="Arial" w:cs="Arial"/>
          <w:sz w:val="24"/>
          <w:szCs w:val="24"/>
        </w:rPr>
        <w:t>Undang-Undang Nomor 23 Tahun 2014 tentang Pemerintahan Daerah</w:t>
      </w:r>
      <w:r>
        <w:rPr>
          <w:rFonts w:ascii="Arial" w:hAnsi="Arial" w:cs="Arial"/>
          <w:sz w:val="24"/>
          <w:szCs w:val="24"/>
        </w:rPr>
        <w:t>;</w:t>
      </w:r>
    </w:p>
    <w:p w14:paraId="11CC232B" w14:textId="2A33C685" w:rsidR="000145EB" w:rsidRDefault="000335CE" w:rsidP="00014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35CE">
        <w:rPr>
          <w:rFonts w:ascii="Arial" w:hAnsi="Arial" w:cs="Arial"/>
          <w:sz w:val="24"/>
          <w:szCs w:val="24"/>
        </w:rPr>
        <w:t xml:space="preserve">Peraturan </w:t>
      </w:r>
      <w:r>
        <w:rPr>
          <w:rFonts w:ascii="Arial" w:hAnsi="Arial" w:cs="Arial"/>
          <w:sz w:val="24"/>
          <w:szCs w:val="24"/>
        </w:rPr>
        <w:t>Pe</w:t>
      </w:r>
      <w:r w:rsidRPr="000335CE">
        <w:rPr>
          <w:rFonts w:ascii="Arial" w:hAnsi="Arial" w:cs="Arial"/>
          <w:sz w:val="24"/>
          <w:szCs w:val="24"/>
        </w:rPr>
        <w:t xml:space="preserve">merintah </w:t>
      </w:r>
      <w:r w:rsidR="00C20313" w:rsidRPr="000335CE">
        <w:rPr>
          <w:rFonts w:ascii="Arial" w:hAnsi="Arial" w:cs="Arial"/>
          <w:sz w:val="24"/>
          <w:szCs w:val="24"/>
        </w:rPr>
        <w:t xml:space="preserve">Nomor </w:t>
      </w:r>
      <w:r w:rsidR="00861C52">
        <w:rPr>
          <w:rFonts w:ascii="Arial" w:hAnsi="Arial" w:cs="Arial"/>
          <w:sz w:val="24"/>
          <w:szCs w:val="24"/>
        </w:rPr>
        <w:t xml:space="preserve">14 </w:t>
      </w:r>
      <w:r w:rsidR="00C20313">
        <w:rPr>
          <w:rFonts w:ascii="Arial" w:hAnsi="Arial" w:cs="Arial"/>
          <w:sz w:val="24"/>
          <w:szCs w:val="24"/>
        </w:rPr>
        <w:t xml:space="preserve"> Tahun 20</w:t>
      </w:r>
      <w:r w:rsidR="00861C52">
        <w:rPr>
          <w:rFonts w:ascii="Arial" w:hAnsi="Arial" w:cs="Arial"/>
          <w:sz w:val="24"/>
          <w:szCs w:val="24"/>
        </w:rPr>
        <w:t xml:space="preserve">21 </w:t>
      </w:r>
      <w:r w:rsidR="00C20313">
        <w:rPr>
          <w:rFonts w:ascii="Arial" w:hAnsi="Arial" w:cs="Arial"/>
          <w:sz w:val="24"/>
          <w:szCs w:val="24"/>
        </w:rPr>
        <w:t>tentang Pe</w:t>
      </w:r>
      <w:r w:rsidR="00861C52">
        <w:rPr>
          <w:rFonts w:ascii="Arial" w:hAnsi="Arial" w:cs="Arial"/>
          <w:sz w:val="24"/>
          <w:szCs w:val="24"/>
        </w:rPr>
        <w:t>rubahan atas  peraturan pemerintah nomor 22 Tahun 2020 tentang Peraturan pelaksanaan undang-undang Jasa konstruksi;</w:t>
      </w:r>
    </w:p>
    <w:p w14:paraId="11F7BCCC" w14:textId="4C312F96" w:rsidR="000B4E7E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2BC4C275" w14:textId="3333B353" w:rsidR="00512D66" w:rsidRPr="00CA10E1" w:rsidRDefault="000145EB" w:rsidP="00CA10E1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722A8E">
        <w:rPr>
          <w:rFonts w:ascii="Arial" w:hAnsi="Arial" w:cs="Arial"/>
          <w:lang w:val="it-IT"/>
        </w:rPr>
        <w:t>Laporan ini disusun dengan maksud untuk melakukan pemantauan dan peninjauan peraturan perundang-undangan serta analisis dan evaluasi terhadap rancangan peraturan kepala daerah</w:t>
      </w:r>
      <w:r w:rsidR="00633C52" w:rsidRPr="00722A8E">
        <w:rPr>
          <w:rFonts w:ascii="Arial" w:hAnsi="Arial" w:cs="Arial"/>
          <w:lang w:val="it-IT"/>
        </w:rPr>
        <w:t xml:space="preserve"> tentang</w:t>
      </w:r>
      <w:r w:rsidR="00633C52" w:rsidRPr="00722A8E">
        <w:rPr>
          <w:rFonts w:ascii="Arial" w:hAnsi="Arial" w:cs="Arial"/>
          <w:b/>
          <w:bCs/>
          <w:lang w:val="it-IT"/>
        </w:rPr>
        <w:t xml:space="preserve"> </w:t>
      </w:r>
      <w:r w:rsidR="001D77D7" w:rsidRPr="001D77D7">
        <w:rPr>
          <w:rFonts w:ascii="Arial" w:hAnsi="Arial" w:cs="Arial"/>
          <w:lang w:val="it-IT"/>
        </w:rPr>
        <w:t>Pe</w:t>
      </w:r>
      <w:r w:rsidR="00861C52">
        <w:rPr>
          <w:rFonts w:ascii="Arial" w:hAnsi="Arial" w:cs="Arial"/>
          <w:lang w:val="it-IT"/>
        </w:rPr>
        <w:t>mbinaan Jasa Konstruksi.</w:t>
      </w:r>
    </w:p>
    <w:p w14:paraId="315A27A2" w14:textId="450BAE59" w:rsidR="000B4E7E" w:rsidRPr="00B078E9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0145EB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B078E9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B078E9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B078E9">
        <w:rPr>
          <w:rFonts w:ascii="Arial" w:hAnsi="Arial" w:cs="Arial"/>
          <w:b/>
          <w:bCs/>
          <w:lang w:val="it-IT"/>
        </w:rPr>
        <w:t xml:space="preserve">         </w:t>
      </w:r>
      <w:r w:rsidR="005D73F4" w:rsidRPr="00B078E9">
        <w:rPr>
          <w:rFonts w:ascii="Arial" w:hAnsi="Arial" w:cs="Arial"/>
          <w:b/>
          <w:bCs/>
          <w:lang w:val="it-IT"/>
        </w:rPr>
        <w:t xml:space="preserve">                            </w:t>
      </w:r>
      <w:r w:rsidRPr="00B078E9">
        <w:rPr>
          <w:rFonts w:ascii="Arial" w:hAnsi="Arial" w:cs="Arial"/>
          <w:b/>
          <w:bCs/>
          <w:lang w:val="it-IT"/>
        </w:rPr>
        <w:t>OBJEK PEMANTAUAN DAN PENILAIAN</w:t>
      </w:r>
    </w:p>
    <w:p w14:paraId="073C04CC" w14:textId="1109BAA5" w:rsidR="003C7D47" w:rsidRPr="00CA10E1" w:rsidRDefault="00633C52" w:rsidP="00CA10E1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CA10E1">
        <w:rPr>
          <w:rFonts w:ascii="Arial" w:hAnsi="Arial" w:cs="Arial"/>
          <w:lang w:val="it-IT"/>
        </w:rPr>
        <w:t xml:space="preserve">Objek pemantauan dan peninjauan adalah rancangan peraturan kepala daerah tentang </w:t>
      </w:r>
      <w:r w:rsidR="004862AA" w:rsidRPr="00CA10E1">
        <w:rPr>
          <w:rFonts w:ascii="Arial" w:hAnsi="Arial" w:cs="Arial"/>
          <w:lang w:val="it-IT"/>
        </w:rPr>
        <w:t>Pe</w:t>
      </w:r>
      <w:r w:rsidR="00861C52" w:rsidRPr="00CA10E1">
        <w:rPr>
          <w:rFonts w:ascii="Arial" w:hAnsi="Arial" w:cs="Arial"/>
          <w:lang w:val="it-IT"/>
        </w:rPr>
        <w:t>mbinaan Jasa Konstruksi.</w:t>
      </w: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CA10E1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51F2779" w:rsid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Kesesuaian  peraturan perundang-undangan</w:t>
      </w:r>
    </w:p>
    <w:p w14:paraId="3993B873" w14:textId="626A3DEA" w:rsidR="00722A8E" w:rsidRPr="00861C52" w:rsidRDefault="00722A8E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r w:rsidRPr="00861C52">
        <w:rPr>
          <w:rFonts w:ascii="Arial" w:hAnsi="Arial" w:cs="Arial"/>
          <w:sz w:val="24"/>
          <w:szCs w:val="24"/>
        </w:rPr>
        <w:t xml:space="preserve">Hasil pemantuan menunjukkan bahwa ranperkada </w:t>
      </w:r>
      <w:r w:rsidR="00861C52" w:rsidRPr="00861C52">
        <w:rPr>
          <w:rFonts w:ascii="Arial" w:hAnsi="Arial" w:cs="Arial"/>
          <w:sz w:val="24"/>
          <w:szCs w:val="24"/>
        </w:rPr>
        <w:t>pem</w:t>
      </w:r>
      <w:r w:rsidR="00861C52">
        <w:rPr>
          <w:rFonts w:ascii="Arial" w:hAnsi="Arial" w:cs="Arial"/>
          <w:sz w:val="24"/>
          <w:szCs w:val="24"/>
        </w:rPr>
        <w:t xml:space="preserve">binaan jasa konstruksi telah disusun dengan ketentuan undang-undang jasa konstruksi dan peraturan </w:t>
      </w:r>
      <w:r w:rsidR="00861C52">
        <w:rPr>
          <w:rFonts w:ascii="Arial" w:hAnsi="Arial" w:cs="Arial"/>
          <w:sz w:val="24"/>
          <w:szCs w:val="24"/>
        </w:rPr>
        <w:lastRenderedPageBreak/>
        <w:t>pelaksanaannya serta tidak bertentangan dengan peraturan perundang-undangan yang lebih tinggi.</w:t>
      </w:r>
    </w:p>
    <w:p w14:paraId="5A22F1C9" w14:textId="5806BE8F" w:rsidR="006E1B13" w:rsidRDefault="00861C52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Kesesuaian kewenangan daerah</w:t>
      </w:r>
    </w:p>
    <w:p w14:paraId="700385ED" w14:textId="7481DAD8" w:rsidR="00722A8E" w:rsidRPr="00861C52" w:rsidRDefault="00861C52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r w:rsidRPr="00861C52">
        <w:rPr>
          <w:rFonts w:ascii="Arial" w:hAnsi="Arial" w:cs="Arial"/>
          <w:sz w:val="24"/>
          <w:szCs w:val="24"/>
        </w:rPr>
        <w:t>Materi muatan ranperkada telah mencerminkan kewenan</w:t>
      </w:r>
      <w:r>
        <w:rPr>
          <w:rFonts w:ascii="Arial" w:hAnsi="Arial" w:cs="Arial"/>
          <w:sz w:val="24"/>
          <w:szCs w:val="24"/>
        </w:rPr>
        <w:t>gan pemerintah daerah dalam pembinaan jasa konstruksi</w:t>
      </w:r>
      <w:r w:rsidR="004752D1">
        <w:rPr>
          <w:rFonts w:ascii="Arial" w:hAnsi="Arial" w:cs="Arial"/>
          <w:sz w:val="24"/>
          <w:szCs w:val="24"/>
        </w:rPr>
        <w:t>, termasuk pembinaan usaha, tenaga kerja konstruksi dan penyelenggaraan jasa konstruksi di daerah.</w:t>
      </w:r>
    </w:p>
    <w:p w14:paraId="506631CA" w14:textId="5077C01D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E14483">
        <w:rPr>
          <w:rFonts w:ascii="Arial" w:hAnsi="Arial" w:cs="Arial"/>
          <w:b/>
          <w:bCs/>
        </w:rPr>
        <w:t xml:space="preserve">Evaluasi </w:t>
      </w:r>
      <w:r w:rsidR="004752D1">
        <w:rPr>
          <w:rFonts w:ascii="Arial" w:hAnsi="Arial" w:cs="Arial"/>
          <w:b/>
          <w:bCs/>
        </w:rPr>
        <w:t>substansi</w:t>
      </w:r>
    </w:p>
    <w:p w14:paraId="03EAE152" w14:textId="3E8A9AC3" w:rsidR="0041423E" w:rsidRPr="004752D1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r w:rsidRPr="004752D1">
        <w:rPr>
          <w:rFonts w:ascii="Arial" w:hAnsi="Arial" w:cs="Arial"/>
          <w:sz w:val="24"/>
          <w:szCs w:val="24"/>
        </w:rPr>
        <w:t xml:space="preserve">Secara teknis, ranperkada </w:t>
      </w:r>
      <w:r w:rsidR="004752D1" w:rsidRPr="004752D1">
        <w:rPr>
          <w:rFonts w:ascii="Arial" w:hAnsi="Arial" w:cs="Arial"/>
          <w:sz w:val="24"/>
          <w:szCs w:val="24"/>
        </w:rPr>
        <w:t>telah memuat pengaturan mengenai peran pemerintah daerah pembinaan , p</w:t>
      </w:r>
      <w:r w:rsidR="004752D1">
        <w:rPr>
          <w:rFonts w:ascii="Arial" w:hAnsi="Arial" w:cs="Arial"/>
          <w:sz w:val="24"/>
          <w:szCs w:val="24"/>
        </w:rPr>
        <w:t>engawasan pemberdayaan pelaku jasa konstruksi daerah, serta koordinasi dengan pemerintah pusat dan provinsi.</w:t>
      </w:r>
    </w:p>
    <w:p w14:paraId="3E248456" w14:textId="77777777" w:rsidR="00722A8E" w:rsidRPr="004752D1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4752D1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7919AC3D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  <w:r w:rsidR="00722A8E">
        <w:rPr>
          <w:rFonts w:ascii="Arial" w:hAnsi="Arial" w:cs="Arial"/>
          <w:b/>
          <w:bCs/>
        </w:rPr>
        <w:t xml:space="preserve"> </w:t>
      </w:r>
    </w:p>
    <w:p w14:paraId="39FB34BE" w14:textId="7685097B" w:rsidR="00722A8E" w:rsidRPr="00722A8E" w:rsidRDefault="00722A8E" w:rsidP="00722A8E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22A8E">
        <w:rPr>
          <w:rFonts w:ascii="Arial" w:hAnsi="Arial" w:cs="Arial"/>
        </w:rPr>
        <w:t>Rancangan peraturan kepala daerah tentang</w:t>
      </w:r>
      <w:r w:rsidR="004752D1">
        <w:rPr>
          <w:rFonts w:ascii="Arial" w:hAnsi="Arial" w:cs="Arial"/>
          <w:b/>
          <w:bCs/>
        </w:rPr>
        <w:t xml:space="preserve"> </w:t>
      </w:r>
      <w:r w:rsidR="004752D1" w:rsidRPr="004752D1">
        <w:rPr>
          <w:rFonts w:ascii="Arial" w:hAnsi="Arial" w:cs="Arial"/>
        </w:rPr>
        <w:t>pembinaan jasa konstruksi</w:t>
      </w:r>
      <w:r w:rsidR="004752D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>pada prinsipnya telah sesuai dengan ketentuan per</w:t>
      </w:r>
      <w:r w:rsidR="004752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turan perundang-undangan dan dapat dilanjutkan dalam tahap penetapan.</w:t>
      </w:r>
    </w:p>
    <w:p w14:paraId="039D03C0" w14:textId="46086C32" w:rsidR="001E2BD9" w:rsidRPr="00722A8E" w:rsidRDefault="001E2BD9" w:rsidP="00722A8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25DA34D" w14:textId="4143F45E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1EB0B892" w14:textId="0B16227A" w:rsidR="00722A8E" w:rsidRPr="007135A0" w:rsidRDefault="00722A8E" w:rsidP="00722A8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135A0">
        <w:rPr>
          <w:rFonts w:ascii="Arial" w:hAnsi="Arial" w:cs="Arial"/>
        </w:rPr>
        <w:t>Menetapkan peraturan kepala daerah tentang</w:t>
      </w:r>
      <w:r w:rsidRPr="007135A0">
        <w:rPr>
          <w:rFonts w:ascii="Arial" w:hAnsi="Arial" w:cs="Arial"/>
          <w:sz w:val="24"/>
          <w:szCs w:val="24"/>
        </w:rPr>
        <w:t xml:space="preserve"> </w:t>
      </w:r>
      <w:r w:rsidR="004752D1">
        <w:rPr>
          <w:rFonts w:ascii="Arial" w:hAnsi="Arial" w:cs="Arial"/>
          <w:sz w:val="24"/>
          <w:szCs w:val="24"/>
        </w:rPr>
        <w:t xml:space="preserve">pembinaan jasa konstruksi </w:t>
      </w:r>
      <w:r w:rsidRPr="007135A0">
        <w:rPr>
          <w:rFonts w:ascii="Arial" w:hAnsi="Arial" w:cs="Arial"/>
          <w:sz w:val="24"/>
          <w:szCs w:val="24"/>
        </w:rPr>
        <w:t>sesuai ketentuan yang berlaku.</w:t>
      </w:r>
    </w:p>
    <w:p w14:paraId="265FCBE4" w14:textId="740D28A4" w:rsidR="007611EC" w:rsidRDefault="004752D1" w:rsidP="007611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Menyesuaikan pengaturan teknis dengan kebijakan nasional dibidang jasa konstruksi.</w:t>
      </w:r>
    </w:p>
    <w:p w14:paraId="154CBDF1" w14:textId="77777777" w:rsidR="007611EC" w:rsidRPr="007611EC" w:rsidRDefault="007611EC" w:rsidP="007611E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3113B249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r w:rsidRPr="00923B4F">
        <w:rPr>
          <w:rFonts w:ascii="Arial" w:hAnsi="Arial" w:cs="Arial"/>
        </w:rPr>
        <w:t>Laporan hasil pemantauan dan evaluasi ini disusun sebagai</w:t>
      </w:r>
      <w:r w:rsidR="007135A0">
        <w:rPr>
          <w:rFonts w:ascii="Arial" w:hAnsi="Arial" w:cs="Arial"/>
        </w:rPr>
        <w:t xml:space="preserve"> dokumen pendukung pembentukan peraturan kepala daerah tentang </w:t>
      </w:r>
      <w:r w:rsidR="004752D1">
        <w:rPr>
          <w:rFonts w:ascii="Arial" w:hAnsi="Arial" w:cs="Arial"/>
        </w:rPr>
        <w:t xml:space="preserve">pembinaan jasa konstruksi </w:t>
      </w:r>
      <w:r w:rsidR="007135A0">
        <w:rPr>
          <w:rFonts w:ascii="Arial" w:hAnsi="Arial" w:cs="Arial"/>
        </w:rPr>
        <w:t>dan sebagai bagian dasar pelaksanaan fungsi pembinaan hukum daerah.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6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7"/>
  </w:num>
  <w:num w:numId="9" w16cid:durableId="1359238329">
    <w:abstractNumId w:val="7"/>
  </w:num>
  <w:num w:numId="10" w16cid:durableId="312419369">
    <w:abstractNumId w:val="20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3"/>
  </w:num>
  <w:num w:numId="14" w16cid:durableId="1682969554">
    <w:abstractNumId w:val="8"/>
  </w:num>
  <w:num w:numId="15" w16cid:durableId="1662614513">
    <w:abstractNumId w:val="15"/>
  </w:num>
  <w:num w:numId="16" w16cid:durableId="742071780">
    <w:abstractNumId w:val="3"/>
  </w:num>
  <w:num w:numId="17" w16cid:durableId="233009220">
    <w:abstractNumId w:val="21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8"/>
  </w:num>
  <w:num w:numId="21" w16cid:durableId="2121215184">
    <w:abstractNumId w:val="5"/>
  </w:num>
  <w:num w:numId="22" w16cid:durableId="1203596993">
    <w:abstractNumId w:val="14"/>
  </w:num>
  <w:num w:numId="23" w16cid:durableId="407656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4400E"/>
    <w:rsid w:val="00057F26"/>
    <w:rsid w:val="00071425"/>
    <w:rsid w:val="00074A2C"/>
    <w:rsid w:val="00086BA8"/>
    <w:rsid w:val="000924F8"/>
    <w:rsid w:val="000949C8"/>
    <w:rsid w:val="000A690D"/>
    <w:rsid w:val="000B4E7E"/>
    <w:rsid w:val="000C1372"/>
    <w:rsid w:val="00100E03"/>
    <w:rsid w:val="00105DCA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D77D7"/>
    <w:rsid w:val="001E2BD9"/>
    <w:rsid w:val="001F4111"/>
    <w:rsid w:val="0020743E"/>
    <w:rsid w:val="00211430"/>
    <w:rsid w:val="002148FE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26919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36A0B"/>
    <w:rsid w:val="00470E65"/>
    <w:rsid w:val="00472AED"/>
    <w:rsid w:val="00472BEC"/>
    <w:rsid w:val="004752D1"/>
    <w:rsid w:val="00483BFA"/>
    <w:rsid w:val="004862AA"/>
    <w:rsid w:val="004D1481"/>
    <w:rsid w:val="004F7C7F"/>
    <w:rsid w:val="00512D66"/>
    <w:rsid w:val="005211FC"/>
    <w:rsid w:val="005213B5"/>
    <w:rsid w:val="00532DA1"/>
    <w:rsid w:val="00537DA9"/>
    <w:rsid w:val="005441C7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26D2"/>
    <w:rsid w:val="006F60B7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7546D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078E9"/>
    <w:rsid w:val="00B200EB"/>
    <w:rsid w:val="00B21B41"/>
    <w:rsid w:val="00B27756"/>
    <w:rsid w:val="00B27864"/>
    <w:rsid w:val="00B41DE8"/>
    <w:rsid w:val="00B52FBE"/>
    <w:rsid w:val="00B5724C"/>
    <w:rsid w:val="00B64A8E"/>
    <w:rsid w:val="00B72883"/>
    <w:rsid w:val="00B863B5"/>
    <w:rsid w:val="00B937D0"/>
    <w:rsid w:val="00BA64A0"/>
    <w:rsid w:val="00BC66FE"/>
    <w:rsid w:val="00BD6C30"/>
    <w:rsid w:val="00BE5ABE"/>
    <w:rsid w:val="00BE6F2D"/>
    <w:rsid w:val="00BF4003"/>
    <w:rsid w:val="00C06D8C"/>
    <w:rsid w:val="00C072E8"/>
    <w:rsid w:val="00C1340E"/>
    <w:rsid w:val="00C20313"/>
    <w:rsid w:val="00C252A4"/>
    <w:rsid w:val="00C279E7"/>
    <w:rsid w:val="00C46887"/>
    <w:rsid w:val="00C62D86"/>
    <w:rsid w:val="00C63259"/>
    <w:rsid w:val="00C96C03"/>
    <w:rsid w:val="00CA10E1"/>
    <w:rsid w:val="00CA1CD4"/>
    <w:rsid w:val="00CB20EF"/>
    <w:rsid w:val="00CE15D6"/>
    <w:rsid w:val="00CF0FEF"/>
    <w:rsid w:val="00D002B4"/>
    <w:rsid w:val="00D27ACC"/>
    <w:rsid w:val="00D44E09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E009F7"/>
    <w:rsid w:val="00E14483"/>
    <w:rsid w:val="00E266FA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7866"/>
    <w:rsid w:val="00FA62D7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51</cp:revision>
  <cp:lastPrinted>2026-01-05T07:02:00Z</cp:lastPrinted>
  <dcterms:created xsi:type="dcterms:W3CDTF">2026-01-13T05:30:00Z</dcterms:created>
  <dcterms:modified xsi:type="dcterms:W3CDTF">2026-01-29T01:48:00Z</dcterms:modified>
</cp:coreProperties>
</file>